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E24AA" w14:textId="77777777" w:rsidR="00A96ADD" w:rsidRDefault="00835711">
      <w:pPr>
        <w:spacing w:after="40"/>
      </w:pPr>
      <w:r>
        <w:rPr>
          <w:b/>
          <w:bCs/>
          <w:color w:val="1F4E79"/>
          <w:sz w:val="20"/>
          <w:szCs w:val="20"/>
        </w:rPr>
        <w:t>CUSTOMS CONFORM IT</w:t>
      </w:r>
    </w:p>
    <w:p w14:paraId="28419860" w14:textId="77777777" w:rsidR="00A96ADD" w:rsidRDefault="00835711">
      <w:pPr>
        <w:pStyle w:val="Titre"/>
        <w:spacing w:after="40"/>
      </w:pPr>
      <w:r>
        <w:rPr>
          <w:b/>
          <w:bCs/>
          <w:color w:val="1F4E79"/>
        </w:rPr>
        <w:t>Veille douanière hebdomadaire</w:t>
      </w:r>
    </w:p>
    <w:p w14:paraId="777F7636" w14:textId="77777777" w:rsidR="00A96ADD" w:rsidRDefault="00835711">
      <w:pPr>
        <w:spacing w:after="20"/>
      </w:pPr>
      <w:r>
        <w:rPr>
          <w:b/>
          <w:bCs/>
          <w:sz w:val="24"/>
          <w:szCs w:val="24"/>
        </w:rPr>
        <w:t>Semaine du 3 au 9 août 2026</w:t>
      </w:r>
    </w:p>
    <w:p w14:paraId="6FE6DF90" w14:textId="77777777" w:rsidR="00A96ADD" w:rsidRDefault="00835711">
      <w:pPr>
        <w:spacing w:after="20"/>
      </w:pPr>
      <w:r>
        <w:rPr>
          <w:color w:val="595959"/>
        </w:rPr>
        <w:t>Date d'exécution : 10 août 2026</w:t>
      </w:r>
    </w:p>
    <w:p w14:paraId="071B9186" w14:textId="77777777" w:rsidR="00A96ADD" w:rsidRDefault="00835711">
      <w:pPr>
        <w:pBdr>
          <w:bottom w:val="single" w:sz="6" w:space="4" w:color="BFBFBF"/>
        </w:pBdr>
        <w:spacing w:after="120"/>
      </w:pPr>
      <w:r>
        <w:rPr>
          <w:b/>
          <w:bCs/>
          <w:i/>
          <w:iCs/>
          <w:color w:val="C00000"/>
          <w:sz w:val="18"/>
          <w:szCs w:val="18"/>
        </w:rPr>
        <w:t xml:space="preserve">DOCUMENT INTERNE — Customs </w:t>
      </w:r>
      <w:proofErr w:type="spellStart"/>
      <w:r>
        <w:rPr>
          <w:b/>
          <w:bCs/>
          <w:i/>
          <w:iCs/>
          <w:color w:val="C00000"/>
          <w:sz w:val="18"/>
          <w:szCs w:val="18"/>
        </w:rPr>
        <w:t>Conform</w:t>
      </w:r>
      <w:proofErr w:type="spellEnd"/>
      <w:r>
        <w:rPr>
          <w:b/>
          <w:bCs/>
          <w:i/>
          <w:iCs/>
          <w:color w:val="C00000"/>
          <w:sz w:val="18"/>
          <w:szCs w:val="18"/>
        </w:rPr>
        <w:t xml:space="preserve"> IT. Diffusion restreinte.</w:t>
      </w:r>
    </w:p>
    <w:p w14:paraId="47AA7F0C" w14:textId="77777777" w:rsidR="00A96ADD" w:rsidRDefault="00835711">
      <w:pPr>
        <w:pStyle w:val="Titre1"/>
        <w:spacing w:before="240" w:after="120"/>
      </w:pPr>
      <w:r>
        <w:rPr>
          <w:b/>
          <w:bCs/>
          <w:color w:val="1F4E79"/>
        </w:rPr>
        <w:t>Union européenne</w:t>
      </w:r>
    </w:p>
    <w:p w14:paraId="72D8C021" w14:textId="77777777" w:rsidR="00A96ADD" w:rsidRDefault="00835711">
      <w:pPr>
        <w:spacing w:after="80"/>
      </w:pPr>
      <w:r>
        <w:rPr>
          <w:i/>
          <w:iCs/>
          <w:color w:val="595959"/>
        </w:rPr>
        <w:t>Aucune nouvelle publication réglementaire majeure sur les canaux UE (DG TAXUD) dans la fenêtre du 3 au 9 août — période creuse estivale. Les dossiers récents suivants restent d'actualité pour les opérateurs :</w:t>
      </w:r>
    </w:p>
    <w:p w14:paraId="004FAADA" w14:textId="77777777" w:rsidR="00A96ADD" w:rsidRDefault="00835711">
      <w:pPr>
        <w:spacing w:before="120" w:after="20"/>
      </w:pPr>
      <w:r>
        <w:rPr>
          <w:b/>
          <w:bCs/>
        </w:rPr>
        <w:t>Règles d'origine non préférentielle — Règlement d'exécution (UE) 2026/1422</w:t>
      </w:r>
      <w:r>
        <w:rPr>
          <w:color w:val="595959"/>
        </w:rPr>
        <w:t xml:space="preserve">  ·  2 juil. 2026 (applicable depuis le 1er juillet)</w:t>
      </w:r>
      <w:r>
        <w:rPr>
          <w:b/>
          <w:bCs/>
          <w:color w:val="BF8F00"/>
        </w:rPr>
        <w:t xml:space="preserve">  ·  [Moyen]</w:t>
      </w:r>
    </w:p>
    <w:p w14:paraId="0B5A203A" w14:textId="77777777" w:rsidR="00A96ADD" w:rsidRDefault="00835711">
      <w:pPr>
        <w:spacing w:after="20"/>
      </w:pPr>
      <w:r>
        <w:t xml:space="preserve">Deux amendements à l'acte d'exécution du Code des douanes de l'Union (UCC-IA) modifient les règles de procédure relatives aux preuves d'origine non préférentielle. </w:t>
      </w:r>
      <w:hyperlink r:id="rId5" w:history="1">
        <w:r>
          <w:rPr>
            <w:rStyle w:val="Lienhypertexte"/>
          </w:rPr>
          <w:t>→ Lien source</w:t>
        </w:r>
      </w:hyperlink>
    </w:p>
    <w:p w14:paraId="1B92F8F0" w14:textId="77777777" w:rsidR="00A96ADD" w:rsidRDefault="00835711">
      <w:pPr>
        <w:spacing w:after="80"/>
      </w:pPr>
      <w:r>
        <w:rPr>
          <w:i/>
          <w:iCs/>
          <w:color w:val="595959"/>
        </w:rPr>
        <w:t>📁</w:t>
      </w:r>
      <w:r>
        <w:rPr>
          <w:i/>
          <w:iCs/>
          <w:color w:val="595959"/>
        </w:rPr>
        <w:t xml:space="preserve"> Docs RESSOURCES potentiellement impactés : Origine/</w:t>
      </w:r>
    </w:p>
    <w:p w14:paraId="7064C2F3" w14:textId="77777777" w:rsidR="00A96ADD" w:rsidRDefault="00835711">
      <w:pPr>
        <w:spacing w:before="120" w:after="20"/>
      </w:pPr>
      <w:r>
        <w:rPr>
          <w:b/>
          <w:bCs/>
        </w:rPr>
        <w:t>E-commerce — fin de la franchise douanière des envois &lt; 150 €</w:t>
      </w:r>
      <w:r>
        <w:rPr>
          <w:color w:val="595959"/>
        </w:rPr>
        <w:t xml:space="preserve">  ·  1er juil. 2026</w:t>
      </w:r>
      <w:r>
        <w:rPr>
          <w:b/>
          <w:bCs/>
          <w:color w:val="548235"/>
        </w:rPr>
        <w:t xml:space="preserve">  ·  [Élevé (rappel)]</w:t>
      </w:r>
    </w:p>
    <w:p w14:paraId="6497E8F0" w14:textId="77777777" w:rsidR="00A96ADD" w:rsidRDefault="00835711">
      <w:pPr>
        <w:spacing w:after="20"/>
      </w:pPr>
      <w:r>
        <w:t xml:space="preserve">Suppression de l'exemption de droits de douane pour les colis e-commerce d'une valeur inférieure à 150 €, en réponse à l'afflux de marchandises de faible valeur. </w:t>
      </w:r>
      <w:hyperlink r:id="rId6" w:history="1">
        <w:r>
          <w:rPr>
            <w:rStyle w:val="Lienhypertexte"/>
          </w:rPr>
          <w:t>→ Lien source</w:t>
        </w:r>
      </w:hyperlink>
    </w:p>
    <w:p w14:paraId="32D01CC6" w14:textId="77777777" w:rsidR="00A96ADD" w:rsidRDefault="00835711">
      <w:pPr>
        <w:spacing w:after="80"/>
      </w:pPr>
      <w:r>
        <w:rPr>
          <w:i/>
          <w:iCs/>
          <w:color w:val="595959"/>
        </w:rPr>
        <w:t>📁</w:t>
      </w:r>
      <w:r>
        <w:rPr>
          <w:i/>
          <w:iCs/>
          <w:color w:val="595959"/>
        </w:rPr>
        <w:t xml:space="preserve"> Docs RESSOURCES potentiellement impactés : E-commerce/</w:t>
      </w:r>
    </w:p>
    <w:p w14:paraId="74ECACBF" w14:textId="77777777" w:rsidR="00A96ADD" w:rsidRDefault="00835711">
      <w:pPr>
        <w:spacing w:before="120" w:after="20"/>
      </w:pPr>
      <w:r>
        <w:rPr>
          <w:b/>
          <w:bCs/>
        </w:rPr>
        <w:t>CBAM renforcé — accord du Conseil + webinaires vérification/accréditation</w:t>
      </w:r>
      <w:r>
        <w:rPr>
          <w:color w:val="595959"/>
        </w:rPr>
        <w:t xml:space="preserve">  ·  12 juin / 16-31 juil. 2026</w:t>
      </w:r>
      <w:r>
        <w:rPr>
          <w:b/>
          <w:bCs/>
          <w:color w:val="548235"/>
        </w:rPr>
        <w:t xml:space="preserve">  ·  [À surveiller]</w:t>
      </w:r>
    </w:p>
    <w:p w14:paraId="36AC0CE7" w14:textId="77777777" w:rsidR="00A96ADD" w:rsidRDefault="00835711">
      <w:pPr>
        <w:spacing w:after="20"/>
      </w:pPr>
      <w:r>
        <w:t xml:space="preserve">Extension du mécanisme d'ajustement carbone aux frontières à certains produits en aval et renforcement des garde-fous anti-contournement ; série de webinaires TAXUD sur l'accréditation des vérificateurs. </w:t>
      </w:r>
      <w:hyperlink r:id="rId7" w:history="1">
        <w:r>
          <w:rPr>
            <w:rStyle w:val="Lienhypertexte"/>
          </w:rPr>
          <w:t>→ Lien source</w:t>
        </w:r>
      </w:hyperlink>
    </w:p>
    <w:p w14:paraId="0177DAF4" w14:textId="77777777" w:rsidR="00A96ADD" w:rsidRDefault="00835711">
      <w:pPr>
        <w:spacing w:after="80"/>
      </w:pPr>
      <w:r>
        <w:rPr>
          <w:i/>
          <w:iCs/>
          <w:color w:val="595959"/>
        </w:rPr>
        <w:t>📁</w:t>
      </w:r>
      <w:r>
        <w:rPr>
          <w:i/>
          <w:iCs/>
          <w:color w:val="595959"/>
        </w:rPr>
        <w:t xml:space="preserve"> Docs RESSOURCES potentiellement impactés : CBAM/</w:t>
      </w:r>
    </w:p>
    <w:p w14:paraId="6E177EBB" w14:textId="77777777" w:rsidR="00A96ADD" w:rsidRDefault="00835711">
      <w:pPr>
        <w:spacing w:before="120" w:after="20"/>
      </w:pPr>
      <w:r>
        <w:rPr>
          <w:b/>
          <w:bCs/>
        </w:rPr>
        <w:t>EU–Türkiye — reconnaissance mutuelle des programmes AEO (AEO MRA)</w:t>
      </w:r>
      <w:r>
        <w:rPr>
          <w:color w:val="595959"/>
        </w:rPr>
        <w:t xml:space="preserve">  ·  16 juil. 2026</w:t>
      </w:r>
      <w:r>
        <w:rPr>
          <w:b/>
          <w:bCs/>
          <w:color w:val="548235"/>
        </w:rPr>
        <w:t xml:space="preserve">  ·  [À surveiller]</w:t>
      </w:r>
    </w:p>
    <w:p w14:paraId="1665BFB4" w14:textId="77777777" w:rsidR="00A96ADD" w:rsidRDefault="00835711">
      <w:pPr>
        <w:spacing w:after="20"/>
      </w:pPr>
      <w:r>
        <w:t xml:space="preserve">Décision du Comité de coopération douanière UE-Türkiye reconnaissant mutuellement les programmes d'opérateur économique agréé. </w:t>
      </w:r>
      <w:hyperlink r:id="rId8" w:history="1">
        <w:r>
          <w:rPr>
            <w:rStyle w:val="Lienhypertexte"/>
          </w:rPr>
          <w:t>→ Lien source</w:t>
        </w:r>
      </w:hyperlink>
    </w:p>
    <w:p w14:paraId="58780D78" w14:textId="77777777" w:rsidR="00A96ADD" w:rsidRDefault="00835711">
      <w:pPr>
        <w:spacing w:after="80"/>
      </w:pPr>
      <w:r>
        <w:rPr>
          <w:i/>
          <w:iCs/>
          <w:color w:val="595959"/>
        </w:rPr>
        <w:t>📁</w:t>
      </w:r>
      <w:r>
        <w:rPr>
          <w:i/>
          <w:iCs/>
          <w:color w:val="595959"/>
        </w:rPr>
        <w:t xml:space="preserve"> Docs RESSOURCES potentiellement impactés : AEO/</w:t>
      </w:r>
    </w:p>
    <w:p w14:paraId="10A98D76" w14:textId="77777777" w:rsidR="00A96ADD" w:rsidRDefault="00835711">
      <w:pPr>
        <w:spacing w:before="120" w:after="20"/>
      </w:pPr>
      <w:r>
        <w:rPr>
          <w:b/>
          <w:bCs/>
        </w:rPr>
        <w:t>Rapport sur les contrôles douaniers aux frontières externes</w:t>
      </w:r>
      <w:r>
        <w:rPr>
          <w:color w:val="595959"/>
        </w:rPr>
        <w:t xml:space="preserve">  ·  20 juil. 2026</w:t>
      </w:r>
      <w:r>
        <w:rPr>
          <w:b/>
          <w:bCs/>
          <w:color w:val="548235"/>
        </w:rPr>
        <w:t xml:space="preserve">  ·  [À surveiller]</w:t>
      </w:r>
    </w:p>
    <w:p w14:paraId="53A4ABAD" w14:textId="77777777" w:rsidR="00A96ADD" w:rsidRDefault="00835711">
      <w:pPr>
        <w:spacing w:after="20"/>
      </w:pPr>
      <w:r>
        <w:t xml:space="preserve">La Commission souligne la nécessité de contrôles renforcés et d'une coopération accrue pour protéger consommateurs et entreprises du marché intérieur. </w:t>
      </w:r>
      <w:hyperlink r:id="rId9" w:history="1">
        <w:r>
          <w:rPr>
            <w:rStyle w:val="Lienhypertexte"/>
          </w:rPr>
          <w:t>→ Lien source</w:t>
        </w:r>
      </w:hyperlink>
    </w:p>
    <w:p w14:paraId="6F5AF472" w14:textId="77777777" w:rsidR="00A96ADD" w:rsidRDefault="00835711">
      <w:pPr>
        <w:pStyle w:val="Titre1"/>
        <w:spacing w:before="240" w:after="120"/>
      </w:pPr>
      <w:r>
        <w:rPr>
          <w:b/>
          <w:bCs/>
          <w:color w:val="1F4E79"/>
        </w:rPr>
        <w:t>Belgique</w:t>
      </w:r>
    </w:p>
    <w:p w14:paraId="0F60A923" w14:textId="77777777" w:rsidR="00A96ADD" w:rsidRDefault="00835711">
      <w:pPr>
        <w:spacing w:after="80"/>
      </w:pPr>
      <w:r>
        <w:rPr>
          <w:i/>
          <w:iCs/>
          <w:color w:val="595959"/>
        </w:rPr>
        <w:t xml:space="preserve">Source : </w:t>
      </w:r>
      <w:proofErr w:type="spellStart"/>
      <w:r>
        <w:rPr>
          <w:i/>
          <w:iCs/>
          <w:color w:val="595959"/>
        </w:rPr>
        <w:t>Nationaal</w:t>
      </w:r>
      <w:proofErr w:type="spellEnd"/>
      <w:r>
        <w:rPr>
          <w:i/>
          <w:iCs/>
          <w:color w:val="595959"/>
        </w:rPr>
        <w:t xml:space="preserve"> Forum (NAFORNA) / Administration générale des douanes et accises (AAD&amp;A).</w:t>
      </w:r>
    </w:p>
    <w:p w14:paraId="0A45509A" w14:textId="77777777" w:rsidR="00A96ADD" w:rsidRDefault="00835711">
      <w:pPr>
        <w:spacing w:before="120" w:after="20"/>
      </w:pPr>
      <w:r>
        <w:rPr>
          <w:b/>
          <w:bCs/>
        </w:rPr>
        <w:t>Flux de marchandises militaires — formulaire F302</w:t>
      </w:r>
      <w:r>
        <w:rPr>
          <w:color w:val="595959"/>
        </w:rPr>
        <w:t xml:space="preserve">  ·  7 août 2026</w:t>
      </w:r>
      <w:r>
        <w:rPr>
          <w:b/>
          <w:bCs/>
          <w:color w:val="548235"/>
        </w:rPr>
        <w:t xml:space="preserve">  ·  [À surveiller]</w:t>
      </w:r>
    </w:p>
    <w:p w14:paraId="2031CFDB" w14:textId="77777777" w:rsidR="00A96ADD" w:rsidRDefault="00835711">
      <w:pPr>
        <w:spacing w:after="20"/>
      </w:pPr>
      <w:r>
        <w:t xml:space="preserve">L'AAD&amp;A </w:t>
      </w:r>
      <w:proofErr w:type="spellStart"/>
      <w:r>
        <w:t>publie</w:t>
      </w:r>
      <w:proofErr w:type="spellEnd"/>
      <w:r>
        <w:t xml:space="preserve"> des précisions sur l'utilisation du formulaire F302 pour les mouvements de biens militaires. </w:t>
      </w:r>
      <w:hyperlink r:id="rId10" w:history="1">
        <w:r>
          <w:rPr>
            <w:rStyle w:val="Lienhypertexte"/>
          </w:rPr>
          <w:t>→ Lien source</w:t>
        </w:r>
      </w:hyperlink>
    </w:p>
    <w:p w14:paraId="31FFC8F8" w14:textId="77777777" w:rsidR="00A96ADD" w:rsidRDefault="00835711">
      <w:pPr>
        <w:spacing w:after="80"/>
      </w:pPr>
      <w:r>
        <w:rPr>
          <w:i/>
          <w:iCs/>
          <w:color w:val="595959"/>
        </w:rPr>
        <w:t>📁</w:t>
      </w:r>
      <w:r>
        <w:rPr>
          <w:i/>
          <w:iCs/>
          <w:color w:val="595959"/>
        </w:rPr>
        <w:t xml:space="preserve"> Docs RESSOURCES potentiellement impactés : NCTS/</w:t>
      </w:r>
    </w:p>
    <w:p w14:paraId="3CCDA5B7" w14:textId="77777777" w:rsidR="00A96ADD" w:rsidRDefault="00835711">
      <w:pPr>
        <w:spacing w:before="120" w:after="20"/>
      </w:pPr>
      <w:r>
        <w:rPr>
          <w:b/>
          <w:bCs/>
        </w:rPr>
        <w:t xml:space="preserve">MASP — fonctionnement du stockage en RTO (Goods </w:t>
      </w:r>
      <w:proofErr w:type="spellStart"/>
      <w:r>
        <w:rPr>
          <w:b/>
          <w:bCs/>
        </w:rPr>
        <w:t>Accounting</w:t>
      </w:r>
      <w:proofErr w:type="spellEnd"/>
      <w:r>
        <w:rPr>
          <w:b/>
          <w:bCs/>
        </w:rPr>
        <w:t>, TARSIS-Full/Light)</w:t>
      </w:r>
      <w:r>
        <w:rPr>
          <w:color w:val="595959"/>
        </w:rPr>
        <w:t xml:space="preserve">  ·  6 août 2026</w:t>
      </w:r>
      <w:r>
        <w:rPr>
          <w:b/>
          <w:bCs/>
          <w:color w:val="BF8F00"/>
        </w:rPr>
        <w:t xml:space="preserve">  ·  [Moyen]</w:t>
      </w:r>
    </w:p>
    <w:p w14:paraId="385B2C3B" w14:textId="77777777" w:rsidR="00A96ADD" w:rsidRDefault="00835711">
      <w:pPr>
        <w:spacing w:after="20"/>
      </w:pPr>
      <w:r>
        <w:t xml:space="preserve">Nouvelle page de directives sur le suivi des marchandises en dépôt temporaire et les obligations des titulaires d'autorisation « Espace pour stockage temporaire » (RTO), dans le cadre de la modernisation des systèmes douaniers UE. </w:t>
      </w:r>
      <w:hyperlink r:id="rId11" w:history="1">
        <w:r>
          <w:rPr>
            <w:rStyle w:val="Lienhypertexte"/>
          </w:rPr>
          <w:t>→ Lien source</w:t>
        </w:r>
      </w:hyperlink>
    </w:p>
    <w:p w14:paraId="1CBCA99B" w14:textId="77777777" w:rsidR="00A96ADD" w:rsidRDefault="00835711">
      <w:pPr>
        <w:spacing w:after="80"/>
      </w:pPr>
      <w:r>
        <w:rPr>
          <w:i/>
          <w:iCs/>
          <w:color w:val="595959"/>
        </w:rPr>
        <w:t>📁</w:t>
      </w:r>
      <w:r>
        <w:rPr>
          <w:i/>
          <w:iCs/>
          <w:color w:val="595959"/>
        </w:rPr>
        <w:t xml:space="preserve"> Docs RESSOURCES potentiellement impactés : Réforme Code des douanes/, AES/, NCTS/</w:t>
      </w:r>
    </w:p>
    <w:p w14:paraId="0CC34E71" w14:textId="77777777" w:rsidR="00A96ADD" w:rsidRDefault="00835711">
      <w:pPr>
        <w:spacing w:before="120" w:after="20"/>
      </w:pPr>
      <w:r>
        <w:rPr>
          <w:b/>
          <w:bCs/>
        </w:rPr>
        <w:lastRenderedPageBreak/>
        <w:t xml:space="preserve">OMD — appel à candidatures Private </w:t>
      </w:r>
      <w:proofErr w:type="spellStart"/>
      <w:r>
        <w:rPr>
          <w:b/>
          <w:bCs/>
        </w:rPr>
        <w:t>Sector</w:t>
      </w:r>
      <w:proofErr w:type="spellEnd"/>
      <w:r>
        <w:rPr>
          <w:b/>
          <w:bCs/>
        </w:rPr>
        <w:t xml:space="preserve"> Consultative Group (PSCG)</w:t>
      </w:r>
      <w:r>
        <w:rPr>
          <w:color w:val="595959"/>
        </w:rPr>
        <w:t xml:space="preserve">  ·  5 août 2026</w:t>
      </w:r>
      <w:r>
        <w:rPr>
          <w:b/>
          <w:bCs/>
          <w:color w:val="548235"/>
        </w:rPr>
        <w:t xml:space="preserve">  ·  [À surveiller]</w:t>
      </w:r>
    </w:p>
    <w:p w14:paraId="3BA50231" w14:textId="77777777" w:rsidR="00A96ADD" w:rsidRDefault="00835711">
      <w:pPr>
        <w:spacing w:after="20"/>
      </w:pPr>
      <w:r>
        <w:t xml:space="preserve">L'Organisation mondiale des douanes ouvre un appel à candidatures pour le PSCG ; dépôt possible jusqu'au 21 août 2026. </w:t>
      </w:r>
      <w:hyperlink r:id="rId12" w:history="1">
        <w:r>
          <w:rPr>
            <w:rStyle w:val="Lienhypertexte"/>
          </w:rPr>
          <w:t>→ Lien source</w:t>
        </w:r>
      </w:hyperlink>
    </w:p>
    <w:p w14:paraId="4451F408" w14:textId="77777777" w:rsidR="00A96ADD" w:rsidRDefault="00835711">
      <w:pPr>
        <w:spacing w:before="120" w:after="20"/>
      </w:pPr>
      <w:r>
        <w:rPr>
          <w:b/>
          <w:bCs/>
        </w:rPr>
        <w:t>EUDR — règlement déforestation : mise à jour de l'état d'avancement</w:t>
      </w:r>
      <w:r>
        <w:rPr>
          <w:color w:val="595959"/>
        </w:rPr>
        <w:t xml:space="preserve">  ·  4 août 2026</w:t>
      </w:r>
      <w:r>
        <w:rPr>
          <w:b/>
          <w:bCs/>
          <w:color w:val="BF8F00"/>
        </w:rPr>
        <w:t xml:space="preserve">  ·  [Moyen]</w:t>
      </w:r>
    </w:p>
    <w:p w14:paraId="170BB5C5" w14:textId="77777777" w:rsidR="00A96ADD" w:rsidRDefault="00835711">
      <w:pPr>
        <w:spacing w:after="20"/>
      </w:pPr>
      <w:r>
        <w:t xml:space="preserve">Point du </w:t>
      </w:r>
      <w:proofErr w:type="spellStart"/>
      <w:r>
        <w:t>Nationaal</w:t>
      </w:r>
      <w:proofErr w:type="spellEnd"/>
      <w:r>
        <w:t xml:space="preserve"> Forum sur le règlement européen contre la déforestation et la dégradation forestière (questions fréquentes des opérateurs). </w:t>
      </w:r>
      <w:hyperlink r:id="rId13" w:history="1">
        <w:r>
          <w:rPr>
            <w:rStyle w:val="Lienhypertexte"/>
          </w:rPr>
          <w:t>→ Lien source</w:t>
        </w:r>
      </w:hyperlink>
    </w:p>
    <w:p w14:paraId="3748F865" w14:textId="77777777" w:rsidR="00A96ADD" w:rsidRDefault="00835711">
      <w:pPr>
        <w:spacing w:after="80"/>
      </w:pPr>
      <w:r>
        <w:rPr>
          <w:i/>
          <w:iCs/>
          <w:color w:val="595959"/>
        </w:rPr>
        <w:t>📁</w:t>
      </w:r>
      <w:r>
        <w:rPr>
          <w:i/>
          <w:iCs/>
          <w:color w:val="595959"/>
        </w:rPr>
        <w:t xml:space="preserve"> Docs RESSOURCES potentiellement impactés : EUDR/</w:t>
      </w:r>
    </w:p>
    <w:p w14:paraId="056E0C84" w14:textId="77777777" w:rsidR="00A96ADD" w:rsidRDefault="00835711">
      <w:pPr>
        <w:spacing w:before="120" w:after="20"/>
      </w:pPr>
      <w:r>
        <w:rPr>
          <w:b/>
          <w:bCs/>
        </w:rPr>
        <w:t>Importateurs — preuve des préférences tarifaires d'origine américaine</w:t>
      </w:r>
      <w:r>
        <w:rPr>
          <w:color w:val="595959"/>
        </w:rPr>
        <w:t xml:space="preserve">  ·  28 juil. 2026 (rappel)</w:t>
      </w:r>
      <w:r>
        <w:rPr>
          <w:b/>
          <w:bCs/>
          <w:color w:val="BF8F00"/>
        </w:rPr>
        <w:t xml:space="preserve">  ·  [Moyen]</w:t>
      </w:r>
    </w:p>
    <w:p w14:paraId="69E2E4EA" w14:textId="77777777" w:rsidR="00A96ADD" w:rsidRDefault="00835711">
      <w:pPr>
        <w:spacing w:after="20"/>
      </w:pPr>
      <w:r>
        <w:t xml:space="preserve">Depuis le 1er juillet 2026, certains produits d'origine américaine peuvent bénéficier de droits réduits ou nuls sur la base des règles d'origine non préférentielle de l'UE ; précisions sur la charge de la preuve. </w:t>
      </w:r>
      <w:hyperlink r:id="rId14" w:history="1">
        <w:r>
          <w:rPr>
            <w:rStyle w:val="Lienhypertexte"/>
          </w:rPr>
          <w:t>→ Lien source</w:t>
        </w:r>
      </w:hyperlink>
    </w:p>
    <w:p w14:paraId="4074D15B" w14:textId="77777777" w:rsidR="00A96ADD" w:rsidRDefault="00835711">
      <w:pPr>
        <w:spacing w:after="80"/>
      </w:pPr>
      <w:r>
        <w:rPr>
          <w:i/>
          <w:iCs/>
          <w:color w:val="595959"/>
        </w:rPr>
        <w:t>📁</w:t>
      </w:r>
      <w:r>
        <w:rPr>
          <w:i/>
          <w:iCs/>
          <w:color w:val="595959"/>
        </w:rPr>
        <w:t xml:space="preserve"> Docs RESSOURCES potentiellement impactés : Origine/</w:t>
      </w:r>
    </w:p>
    <w:p w14:paraId="5C905C8F" w14:textId="77777777" w:rsidR="00A96ADD" w:rsidRDefault="00835711">
      <w:pPr>
        <w:pStyle w:val="Titre1"/>
        <w:spacing w:before="240" w:after="120"/>
      </w:pPr>
      <w:r>
        <w:rPr>
          <w:b/>
          <w:bCs/>
          <w:color w:val="1F4E79"/>
        </w:rPr>
        <w:t>France</w:t>
      </w:r>
    </w:p>
    <w:p w14:paraId="293BC540" w14:textId="77777777" w:rsidR="00A96ADD" w:rsidRDefault="00835711">
      <w:pPr>
        <w:spacing w:after="80"/>
      </w:pPr>
      <w:r>
        <w:rPr>
          <w:i/>
          <w:iCs/>
          <w:color w:val="595959"/>
        </w:rPr>
        <w:t>Source : DGDDI. Pas de nouveau texte réglementaire (Bulletin officiel des douanes) significatif dans la fenêtre ; actualité surtout opérationnelle et statistique.</w:t>
      </w:r>
    </w:p>
    <w:p w14:paraId="750ADFEB" w14:textId="77777777" w:rsidR="00A96ADD" w:rsidRDefault="00835711">
      <w:pPr>
        <w:spacing w:before="120" w:after="20"/>
      </w:pPr>
      <w:r>
        <w:rPr>
          <w:b/>
          <w:bCs/>
        </w:rPr>
        <w:t>Plan Douane 2030 — premières déclinaisons en Guyane</w:t>
      </w:r>
      <w:r>
        <w:rPr>
          <w:color w:val="595959"/>
        </w:rPr>
        <w:t xml:space="preserve">  ·  5 août 2026</w:t>
      </w:r>
      <w:r>
        <w:rPr>
          <w:b/>
          <w:bCs/>
          <w:color w:val="548235"/>
        </w:rPr>
        <w:t xml:space="preserve">  ·  [À surveiller]</w:t>
      </w:r>
    </w:p>
    <w:p w14:paraId="3D3D3900" w14:textId="77777777" w:rsidR="00A96ADD" w:rsidRDefault="00835711">
      <w:pPr>
        <w:spacing w:after="20"/>
      </w:pPr>
      <w:r>
        <w:t xml:space="preserve">Le ministre David Amiel annonce les premières mesures du plan Douane 2030 (lutte contre la fraude, organisation des services) lors de son déplacement en Guyane. </w:t>
      </w:r>
      <w:hyperlink r:id="rId15" w:history="1">
        <w:r>
          <w:rPr>
            <w:rStyle w:val="Lienhypertexte"/>
          </w:rPr>
          <w:t>→ Lien source</w:t>
        </w:r>
      </w:hyperlink>
    </w:p>
    <w:p w14:paraId="70C08DF0" w14:textId="77777777" w:rsidR="00A96ADD" w:rsidRDefault="00835711">
      <w:pPr>
        <w:spacing w:before="120" w:after="20"/>
      </w:pPr>
      <w:r>
        <w:rPr>
          <w:b/>
          <w:bCs/>
        </w:rPr>
        <w:t>Ventes de tabac en France — données mensuelles</w:t>
      </w:r>
      <w:r>
        <w:rPr>
          <w:color w:val="595959"/>
        </w:rPr>
        <w:t xml:space="preserve">  ·  7 août 2026</w:t>
      </w:r>
      <w:r>
        <w:rPr>
          <w:b/>
          <w:bCs/>
          <w:color w:val="548235"/>
        </w:rPr>
        <w:t xml:space="preserve">  ·  [À surveiller]</w:t>
      </w:r>
    </w:p>
    <w:p w14:paraId="26122155" w14:textId="77777777" w:rsidR="00A96ADD" w:rsidRDefault="00835711">
      <w:pPr>
        <w:spacing w:after="20"/>
      </w:pPr>
      <w:r>
        <w:t xml:space="preserve">Publication mensuelle des données de ventes de tabac (contributions indirectes). </w:t>
      </w:r>
      <w:hyperlink r:id="rId16" w:history="1">
        <w:r>
          <w:rPr>
            <w:rStyle w:val="Lienhypertexte"/>
          </w:rPr>
          <w:t>→ Lien source</w:t>
        </w:r>
      </w:hyperlink>
    </w:p>
    <w:p w14:paraId="20957826" w14:textId="77777777" w:rsidR="00A96ADD" w:rsidRDefault="00835711">
      <w:pPr>
        <w:spacing w:after="80"/>
      </w:pPr>
      <w:r>
        <w:rPr>
          <w:i/>
          <w:iCs/>
          <w:color w:val="595959"/>
        </w:rPr>
        <w:t>📁</w:t>
      </w:r>
      <w:r>
        <w:rPr>
          <w:i/>
          <w:iCs/>
          <w:color w:val="595959"/>
        </w:rPr>
        <w:t xml:space="preserve"> Docs RESSOURCES potentiellement impactés : Accises/</w:t>
      </w:r>
    </w:p>
    <w:p w14:paraId="212EFB1C" w14:textId="77777777" w:rsidR="00A96ADD" w:rsidRDefault="00835711">
      <w:pPr>
        <w:spacing w:before="120" w:after="20"/>
      </w:pPr>
      <w:r>
        <w:rPr>
          <w:b/>
          <w:bCs/>
        </w:rPr>
        <w:t>Taxe sur les petits colis — point d'information sur la mise en œuvre</w:t>
      </w:r>
      <w:r>
        <w:rPr>
          <w:color w:val="595959"/>
        </w:rPr>
        <w:t xml:space="preserve">  ·  8 juil. 2026 (rappel)</w:t>
      </w:r>
      <w:r>
        <w:rPr>
          <w:b/>
          <w:bCs/>
          <w:color w:val="BF8F00"/>
        </w:rPr>
        <w:t xml:space="preserve">  ·  [Moyen]</w:t>
      </w:r>
    </w:p>
    <w:p w14:paraId="22642895" w14:textId="77777777" w:rsidR="00A96ADD" w:rsidRDefault="00835711">
      <w:pPr>
        <w:spacing w:after="20"/>
      </w:pPr>
      <w:r>
        <w:t xml:space="preserve">Suivi de la mise en œuvre côté français de la taxe sur les articles contenus dans les petits colis, en lien avec la fin de la franchise UE des 150 €. </w:t>
      </w:r>
      <w:hyperlink r:id="rId17" w:history="1">
        <w:r>
          <w:rPr>
            <w:rStyle w:val="Lienhypertexte"/>
          </w:rPr>
          <w:t>→ Lien source</w:t>
        </w:r>
      </w:hyperlink>
    </w:p>
    <w:p w14:paraId="77759393" w14:textId="77777777" w:rsidR="00A96ADD" w:rsidRDefault="00835711">
      <w:pPr>
        <w:spacing w:after="80"/>
      </w:pPr>
      <w:r>
        <w:rPr>
          <w:i/>
          <w:iCs/>
          <w:color w:val="595959"/>
        </w:rPr>
        <w:t>📁</w:t>
      </w:r>
      <w:r>
        <w:rPr>
          <w:i/>
          <w:iCs/>
          <w:color w:val="595959"/>
        </w:rPr>
        <w:t xml:space="preserve"> Docs RESSOURCES potentiellement impactés : E-commerce/</w:t>
      </w:r>
    </w:p>
    <w:p w14:paraId="74AB5820" w14:textId="77777777" w:rsidR="00A96ADD" w:rsidRDefault="00835711">
      <w:pPr>
        <w:pStyle w:val="Titre1"/>
        <w:spacing w:before="240" w:after="120"/>
      </w:pPr>
      <w:r>
        <w:rPr>
          <w:b/>
          <w:bCs/>
          <w:color w:val="1F4E79"/>
        </w:rPr>
        <w:t>Pays-Bas</w:t>
      </w:r>
    </w:p>
    <w:p w14:paraId="6C60A8DA" w14:textId="77777777" w:rsidR="00A96ADD" w:rsidRDefault="00835711">
      <w:pPr>
        <w:spacing w:after="80"/>
      </w:pPr>
      <w:r>
        <w:rPr>
          <w:i/>
          <w:iCs/>
          <w:color w:val="595959"/>
        </w:rPr>
        <w:t xml:space="preserve">Source : </w:t>
      </w:r>
      <w:proofErr w:type="spellStart"/>
      <w:r>
        <w:rPr>
          <w:i/>
          <w:iCs/>
          <w:color w:val="595959"/>
        </w:rPr>
        <w:t>Belastingdienst</w:t>
      </w:r>
      <w:proofErr w:type="spellEnd"/>
      <w:r>
        <w:rPr>
          <w:i/>
          <w:iCs/>
          <w:color w:val="595959"/>
        </w:rPr>
        <w:t xml:space="preserve"> Douane. Pas d'actualité nouvelle publiée dans la fenêtre du 3 au 9 août ; rappels récents à fort impact :</w:t>
      </w:r>
    </w:p>
    <w:p w14:paraId="533A9C52" w14:textId="77777777" w:rsidR="00A96ADD" w:rsidRDefault="00835711">
      <w:pPr>
        <w:spacing w:before="120" w:after="20"/>
      </w:pPr>
      <w:r>
        <w:rPr>
          <w:b/>
          <w:bCs/>
        </w:rPr>
        <w:t>21e paquet de sanctions de l'UE contre la Russie</w:t>
      </w:r>
      <w:r>
        <w:rPr>
          <w:color w:val="595959"/>
        </w:rPr>
        <w:t xml:space="preserve">  ·  adopté le 23 juil., relayé le 30 juil. 2026</w:t>
      </w:r>
      <w:r>
        <w:rPr>
          <w:b/>
          <w:bCs/>
          <w:color w:val="548235"/>
        </w:rPr>
        <w:t xml:space="preserve">  ·  [Élevé (rappel)]</w:t>
      </w:r>
    </w:p>
    <w:p w14:paraId="0A8BC9A3" w14:textId="77777777" w:rsidR="00A96ADD" w:rsidRDefault="00835711">
      <w:pPr>
        <w:spacing w:after="20"/>
      </w:pPr>
      <w:r>
        <w:t xml:space="preserve">Nouvelles mesures visant les revenus pétroliers russes, la « flotte fantôme », des banques et des entreprises impliquées dans le contournement des sanctions. </w:t>
      </w:r>
      <w:hyperlink r:id="rId18" w:history="1">
        <w:r>
          <w:rPr>
            <w:rStyle w:val="Lienhypertexte"/>
          </w:rPr>
          <w:t>→ Lien source</w:t>
        </w:r>
      </w:hyperlink>
    </w:p>
    <w:p w14:paraId="2FC32F82" w14:textId="77777777" w:rsidR="00A96ADD" w:rsidRDefault="00835711">
      <w:pPr>
        <w:spacing w:before="120" w:after="20"/>
      </w:pPr>
      <w:proofErr w:type="spellStart"/>
      <w:r>
        <w:rPr>
          <w:b/>
          <w:bCs/>
        </w:rPr>
        <w:t>Centralised</w:t>
      </w:r>
      <w:proofErr w:type="spellEnd"/>
      <w:r>
        <w:rPr>
          <w:b/>
          <w:bCs/>
        </w:rPr>
        <w:t xml:space="preserve"> Clearance — adaptations des logiciels douaniers</w:t>
      </w:r>
      <w:r>
        <w:rPr>
          <w:color w:val="595959"/>
        </w:rPr>
        <w:t xml:space="preserve">  ·  21 juil. 2026 (rappel)</w:t>
      </w:r>
      <w:r>
        <w:rPr>
          <w:b/>
          <w:bCs/>
          <w:color w:val="BF8F00"/>
        </w:rPr>
        <w:t xml:space="preserve">  ·  [Moyen]</w:t>
      </w:r>
    </w:p>
    <w:p w14:paraId="6E025807" w14:textId="77777777" w:rsidR="00A96ADD" w:rsidRDefault="00835711">
      <w:pPr>
        <w:spacing w:after="20"/>
      </w:pPr>
      <w:r>
        <w:t xml:space="preserve">Les entreprises souhaitant recourir au dédouanement centralisé doivent adapter leur logiciel douanier pour déposer des déclarations sous autorisation </w:t>
      </w:r>
      <w:proofErr w:type="spellStart"/>
      <w:r>
        <w:t>Centralised</w:t>
      </w:r>
      <w:proofErr w:type="spellEnd"/>
      <w:r>
        <w:t xml:space="preserve"> Clearance. </w:t>
      </w:r>
      <w:hyperlink r:id="rId19" w:history="1">
        <w:r>
          <w:rPr>
            <w:rStyle w:val="Lienhypertexte"/>
          </w:rPr>
          <w:t>→ Lien source</w:t>
        </w:r>
      </w:hyperlink>
    </w:p>
    <w:p w14:paraId="6AF80185" w14:textId="77777777" w:rsidR="00A96ADD" w:rsidRDefault="00835711">
      <w:pPr>
        <w:spacing w:after="80"/>
      </w:pPr>
      <w:r>
        <w:rPr>
          <w:i/>
          <w:iCs/>
          <w:color w:val="595959"/>
        </w:rPr>
        <w:t>📁</w:t>
      </w:r>
      <w:r>
        <w:rPr>
          <w:i/>
          <w:iCs/>
          <w:color w:val="595959"/>
        </w:rPr>
        <w:t xml:space="preserve"> Docs RESSOURCES potentiellement impactés : Réforme Code des douanes/</w:t>
      </w:r>
    </w:p>
    <w:p w14:paraId="475F4A9F" w14:textId="77777777" w:rsidR="00A96ADD" w:rsidRDefault="00835711">
      <w:pPr>
        <w:spacing w:before="120" w:after="20"/>
      </w:pPr>
      <w:r>
        <w:rPr>
          <w:b/>
          <w:bCs/>
        </w:rPr>
        <w:t>Interdiction d'importation de biens issus de colonies israéliennes illégales</w:t>
      </w:r>
      <w:r>
        <w:rPr>
          <w:color w:val="595959"/>
        </w:rPr>
        <w:t xml:space="preserve">  ·  21 juil. 2026 (rappel)</w:t>
      </w:r>
      <w:r>
        <w:rPr>
          <w:b/>
          <w:bCs/>
          <w:color w:val="BF8F00"/>
        </w:rPr>
        <w:t xml:space="preserve">  ·  [Moyen]</w:t>
      </w:r>
    </w:p>
    <w:p w14:paraId="2DBE809E" w14:textId="77777777" w:rsidR="00A96ADD" w:rsidRDefault="00835711">
      <w:pPr>
        <w:spacing w:after="20"/>
      </w:pPr>
      <w:r>
        <w:t xml:space="preserve">Mise en place d'une interdiction d'importation portant sur des marchandises provenant de colonies israéliennes illégales. </w:t>
      </w:r>
      <w:hyperlink r:id="rId20" w:history="1">
        <w:r>
          <w:rPr>
            <w:rStyle w:val="Lienhypertexte"/>
          </w:rPr>
          <w:t>→ Lien source</w:t>
        </w:r>
      </w:hyperlink>
    </w:p>
    <w:p w14:paraId="0058F27D" w14:textId="77777777" w:rsidR="00A96ADD" w:rsidRDefault="00835711">
      <w:pPr>
        <w:pStyle w:val="Titre1"/>
        <w:spacing w:before="240" w:after="120"/>
      </w:pPr>
      <w:r>
        <w:rPr>
          <w:b/>
          <w:bCs/>
          <w:color w:val="1F4E79"/>
        </w:rPr>
        <w:t>Luxembourg</w:t>
      </w:r>
    </w:p>
    <w:p w14:paraId="6F5B44A7" w14:textId="77777777" w:rsidR="00A96ADD" w:rsidRDefault="00835711">
      <w:pPr>
        <w:spacing w:after="80"/>
      </w:pPr>
      <w:r>
        <w:rPr>
          <w:i/>
          <w:iCs/>
        </w:rPr>
        <w:lastRenderedPageBreak/>
        <w:t>Pas d'actualité significative cette semaine (la page publique de l'Administration des douanes et accises ne présentait pas de mise à jour récente au moment de l'exécution).</w:t>
      </w:r>
    </w:p>
    <w:p w14:paraId="1B65B10F" w14:textId="77777777" w:rsidR="00A96ADD" w:rsidRDefault="00835711">
      <w:pPr>
        <w:pStyle w:val="Titre1"/>
        <w:spacing w:before="240" w:after="120"/>
      </w:pPr>
      <w:r>
        <w:rPr>
          <w:b/>
          <w:bCs/>
          <w:color w:val="1F4E79"/>
        </w:rPr>
        <w:t>À retenir cette semaine</w:t>
      </w:r>
    </w:p>
    <w:p w14:paraId="27464E03" w14:textId="77777777" w:rsidR="00A96ADD" w:rsidRDefault="00835711">
      <w:pPr>
        <w:pStyle w:val="Paragraphedeliste"/>
        <w:numPr>
          <w:ilvl w:val="0"/>
          <w:numId w:val="2"/>
        </w:numPr>
        <w:spacing w:after="40"/>
      </w:pPr>
      <w:r>
        <w:t>Origine : le règlement d'exécution 2026/1422 (applicable depuis le 1er juillet) modifie les preuves d'origine non préférentielle ; combiné à l'entrée en vigueur de préférences tarifaires sur certains produits d'origine US, revoir les procédures de justification d'origine des clients concernés.</w:t>
      </w:r>
    </w:p>
    <w:p w14:paraId="4F2BA075" w14:textId="77777777" w:rsidR="00A96ADD" w:rsidRDefault="00835711">
      <w:pPr>
        <w:pStyle w:val="Paragraphedeliste"/>
        <w:numPr>
          <w:ilvl w:val="0"/>
          <w:numId w:val="2"/>
        </w:numPr>
        <w:spacing w:after="40"/>
      </w:pPr>
      <w:r>
        <w:t xml:space="preserve">Modernisation MASP/RTO (BE) : les titulaires d'autorisation « stockage temporaire » doivent intégrer les directives Goods </w:t>
      </w:r>
      <w:proofErr w:type="spellStart"/>
      <w:r>
        <w:t>Accounting</w:t>
      </w:r>
      <w:proofErr w:type="spellEnd"/>
      <w:r>
        <w:t xml:space="preserve"> / TARSIS — impact opérationnel direct sur le suivi des marchandises en dépôt temporaire.</w:t>
      </w:r>
    </w:p>
    <w:p w14:paraId="57B77A66" w14:textId="77777777" w:rsidR="00A96ADD" w:rsidRDefault="00835711">
      <w:pPr>
        <w:pStyle w:val="Paragraphedeliste"/>
        <w:numPr>
          <w:ilvl w:val="0"/>
          <w:numId w:val="2"/>
        </w:numPr>
        <w:spacing w:after="40"/>
      </w:pPr>
      <w:r>
        <w:t>Sanctions Russie (21e paquet) : renforcement anti-contournement, flotte fantôme et secteur bancaire — vérifier les procédures de screening et de due diligence des clients exposés.</w:t>
      </w:r>
    </w:p>
    <w:p w14:paraId="34DF895A" w14:textId="77777777" w:rsidR="00A96ADD" w:rsidRDefault="00835711">
      <w:pPr>
        <w:pStyle w:val="Paragraphedeliste"/>
        <w:numPr>
          <w:ilvl w:val="0"/>
          <w:numId w:val="2"/>
        </w:numPr>
        <w:spacing w:after="40"/>
      </w:pPr>
      <w:r>
        <w:t>EUDR : le dossier déforestation reste actif (mise à jour NAFORNA du 4 août) — refaire le point sur la préparation des clients importateurs de produits concernés.</w:t>
      </w:r>
    </w:p>
    <w:p w14:paraId="7EA5038E" w14:textId="77777777" w:rsidR="00A96ADD" w:rsidRDefault="00835711">
      <w:pPr>
        <w:pStyle w:val="Paragraphedeliste"/>
        <w:numPr>
          <w:ilvl w:val="0"/>
          <w:numId w:val="2"/>
        </w:numPr>
        <w:spacing w:after="40"/>
      </w:pPr>
      <w:r>
        <w:t>E-commerce : la fin de la franchise 150 € (1er juillet) continue de produire ses effets — accompagner les clients e-commerce sur la taxe petits colis (FR) et le nouveau régime déclaratif.</w:t>
      </w:r>
    </w:p>
    <w:p w14:paraId="1B8651D4" w14:textId="77777777" w:rsidR="00A96ADD" w:rsidRDefault="00835711">
      <w:pPr>
        <w:pStyle w:val="Titre1"/>
        <w:spacing w:before="240" w:after="120"/>
      </w:pPr>
      <w:r>
        <w:rPr>
          <w:b/>
          <w:bCs/>
          <w:color w:val="1F4E79"/>
        </w:rPr>
        <w:t>Bibliothèque RESSOURCES à mettre à jour</w:t>
      </w:r>
    </w:p>
    <w:p w14:paraId="0AFDF395" w14:textId="77777777" w:rsidR="00A96ADD" w:rsidRDefault="00835711">
      <w:pPr>
        <w:spacing w:after="80"/>
      </w:pPr>
      <w:r>
        <w:rPr>
          <w:i/>
          <w:iCs/>
          <w:color w:val="595959"/>
        </w:rPr>
        <w:t>Remarque : la bibliothèque RESSOURCES n'était pas montée lors de cette exécution ; l'énumération des fichiers individuels n'a pas été possible. Sous-dossiers thématiques à revoir/compléter cette semaine :</w:t>
      </w:r>
    </w:p>
    <w:p w14:paraId="4B764C22" w14:textId="77777777" w:rsidR="00A96ADD" w:rsidRDefault="00835711">
      <w:pPr>
        <w:pStyle w:val="Paragraphedeliste"/>
        <w:numPr>
          <w:ilvl w:val="0"/>
          <w:numId w:val="2"/>
        </w:numPr>
        <w:spacing w:after="40"/>
      </w:pPr>
      <w:r>
        <w:t>Origine/ — intégrer le règlement 2026/1422 (origine non préférentielle) et les préférences tarifaires US (charge de la preuve).</w:t>
      </w:r>
    </w:p>
    <w:p w14:paraId="14538640" w14:textId="77777777" w:rsidR="00A96ADD" w:rsidRDefault="00835711">
      <w:pPr>
        <w:pStyle w:val="Paragraphedeliste"/>
        <w:numPr>
          <w:ilvl w:val="0"/>
          <w:numId w:val="2"/>
        </w:numPr>
        <w:spacing w:after="40"/>
      </w:pPr>
      <w:r>
        <w:t xml:space="preserve">Réforme Code des douanes/ — directives MASP/RTO, TARSIS-Full/Light, Goods </w:t>
      </w:r>
      <w:proofErr w:type="spellStart"/>
      <w:r>
        <w:t>Accounting</w:t>
      </w:r>
      <w:proofErr w:type="spellEnd"/>
      <w:r>
        <w:t xml:space="preserve"> ; dédouanement centralisé (</w:t>
      </w:r>
      <w:proofErr w:type="spellStart"/>
      <w:r>
        <w:t>Centralised</w:t>
      </w:r>
      <w:proofErr w:type="spellEnd"/>
      <w:r>
        <w:t xml:space="preserve"> Clearance).</w:t>
      </w:r>
    </w:p>
    <w:p w14:paraId="63520D2E" w14:textId="77777777" w:rsidR="00A96ADD" w:rsidRDefault="00835711">
      <w:pPr>
        <w:pStyle w:val="Paragraphedeliste"/>
        <w:numPr>
          <w:ilvl w:val="0"/>
          <w:numId w:val="2"/>
        </w:numPr>
        <w:spacing w:after="40"/>
      </w:pPr>
      <w:r>
        <w:t>AES/ et NCTS/ — mouvements et transit : formulaire F302 (biens militaires), release notes AES (10/07) et PN/TS (07/07).</w:t>
      </w:r>
    </w:p>
    <w:p w14:paraId="5DD085EF" w14:textId="77777777" w:rsidR="00A96ADD" w:rsidRDefault="00835711">
      <w:pPr>
        <w:pStyle w:val="Paragraphedeliste"/>
        <w:numPr>
          <w:ilvl w:val="0"/>
          <w:numId w:val="2"/>
        </w:numPr>
        <w:spacing w:after="40"/>
      </w:pPr>
      <w:r>
        <w:t>EUDR/ — mise à jour de l'état d'avancement du règlement déforestation.</w:t>
      </w:r>
    </w:p>
    <w:p w14:paraId="23AF1511" w14:textId="77777777" w:rsidR="00A96ADD" w:rsidRDefault="00835711">
      <w:pPr>
        <w:pStyle w:val="Paragraphedeliste"/>
        <w:numPr>
          <w:ilvl w:val="0"/>
          <w:numId w:val="2"/>
        </w:numPr>
        <w:spacing w:after="40"/>
      </w:pPr>
      <w:r>
        <w:t>CBAM/ — renforcement CBAM (produits en aval, anti-contournement, accréditation des vérificateurs).</w:t>
      </w:r>
    </w:p>
    <w:p w14:paraId="0EC7EE97" w14:textId="77777777" w:rsidR="00A96ADD" w:rsidRDefault="00835711">
      <w:pPr>
        <w:pStyle w:val="Paragraphedeliste"/>
        <w:numPr>
          <w:ilvl w:val="0"/>
          <w:numId w:val="2"/>
        </w:numPr>
        <w:spacing w:after="40"/>
      </w:pPr>
      <w:r>
        <w:t>E-commerce/ — fin de la franchise 150 €, taxe sur les petits colis.</w:t>
      </w:r>
    </w:p>
    <w:p w14:paraId="2718E049" w14:textId="77777777" w:rsidR="00A96ADD" w:rsidRDefault="00835711">
      <w:pPr>
        <w:pStyle w:val="Paragraphedeliste"/>
        <w:numPr>
          <w:ilvl w:val="0"/>
          <w:numId w:val="2"/>
        </w:numPr>
        <w:spacing w:after="40"/>
      </w:pPr>
      <w:r>
        <w:t>AEO/ — reconnaissance mutuelle AEO UE-Türkiye.</w:t>
      </w:r>
    </w:p>
    <w:p w14:paraId="00612AAA" w14:textId="77777777" w:rsidR="00A96ADD" w:rsidRDefault="00835711">
      <w:pPr>
        <w:pStyle w:val="Paragraphedeliste"/>
        <w:numPr>
          <w:ilvl w:val="0"/>
          <w:numId w:val="2"/>
        </w:numPr>
        <w:spacing w:after="40"/>
      </w:pPr>
      <w:r>
        <w:t>Accises/ — données mensuelles de ventes de tabac.</w:t>
      </w:r>
    </w:p>
    <w:p w14:paraId="2AAE5C94" w14:textId="77777777" w:rsidR="00A96ADD" w:rsidRDefault="00835711">
      <w:pPr>
        <w:pStyle w:val="Titre2"/>
        <w:spacing w:before="200" w:after="80"/>
      </w:pPr>
      <w:r>
        <w:rPr>
          <w:b/>
          <w:bCs/>
          <w:color w:val="1F4E79"/>
        </w:rPr>
        <w:t>Sources non consultées / limitations de ce run</w:t>
      </w:r>
    </w:p>
    <w:p w14:paraId="7E2262AB" w14:textId="77777777" w:rsidR="00A96ADD" w:rsidRDefault="00835711">
      <w:pPr>
        <w:spacing w:after="80"/>
      </w:pPr>
      <w:r>
        <w:rPr>
          <w:color w:val="595959"/>
          <w:sz w:val="18"/>
          <w:szCs w:val="18"/>
        </w:rPr>
        <w:t>Commission (</w:t>
      </w:r>
      <w:proofErr w:type="spellStart"/>
      <w:r>
        <w:rPr>
          <w:color w:val="595959"/>
          <w:sz w:val="18"/>
          <w:szCs w:val="18"/>
        </w:rPr>
        <w:t>presscorner</w:t>
      </w:r>
      <w:proofErr w:type="spellEnd"/>
      <w:r>
        <w:rPr>
          <w:color w:val="595959"/>
          <w:sz w:val="18"/>
          <w:szCs w:val="18"/>
        </w:rPr>
        <w:t>) et EUR-Lex (JO série L) non exploitables via récupération simple (contenu rendu par JavaScript) ; page AGDA (finances.belgium.be) renvoyée vide ; page ADA Luxembourg n'a renvoyé qu'un cache d'archives 2018-2019 ; outil de recherche web (</w:t>
      </w:r>
      <w:proofErr w:type="spellStart"/>
      <w:r>
        <w:rPr>
          <w:color w:val="595959"/>
          <w:sz w:val="18"/>
          <w:szCs w:val="18"/>
        </w:rPr>
        <w:t>WebSearch</w:t>
      </w:r>
      <w:proofErr w:type="spellEnd"/>
      <w:r>
        <w:rPr>
          <w:color w:val="595959"/>
          <w:sz w:val="18"/>
          <w:szCs w:val="18"/>
        </w:rPr>
        <w:t>) indisponible. Veille fondée sur les pages officielles effectivement récupérées : DG TAXUD, DGDDI, Douane.nl, NAFORNA.</w:t>
      </w:r>
    </w:p>
    <w:sectPr w:rsidR="00A96ADD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45361"/>
    <w:multiLevelType w:val="hybridMultilevel"/>
    <w:tmpl w:val="F1B2EB5A"/>
    <w:lvl w:ilvl="0" w:tplc="923CAD6E">
      <w:start w:val="1"/>
      <w:numFmt w:val="bullet"/>
      <w:lvlText w:val="●"/>
      <w:lvlJc w:val="left"/>
      <w:pPr>
        <w:ind w:left="720" w:hanging="360"/>
      </w:pPr>
    </w:lvl>
    <w:lvl w:ilvl="1" w:tplc="FD72CC72">
      <w:start w:val="1"/>
      <w:numFmt w:val="bullet"/>
      <w:lvlText w:val="○"/>
      <w:lvlJc w:val="left"/>
      <w:pPr>
        <w:ind w:left="1440" w:hanging="360"/>
      </w:pPr>
    </w:lvl>
    <w:lvl w:ilvl="2" w:tplc="EF808DC2">
      <w:start w:val="1"/>
      <w:numFmt w:val="bullet"/>
      <w:lvlText w:val="■"/>
      <w:lvlJc w:val="left"/>
      <w:pPr>
        <w:ind w:left="2160" w:hanging="360"/>
      </w:pPr>
    </w:lvl>
    <w:lvl w:ilvl="3" w:tplc="F4A896D6">
      <w:start w:val="1"/>
      <w:numFmt w:val="bullet"/>
      <w:lvlText w:val="●"/>
      <w:lvlJc w:val="left"/>
      <w:pPr>
        <w:ind w:left="2880" w:hanging="360"/>
      </w:pPr>
    </w:lvl>
    <w:lvl w:ilvl="4" w:tplc="368C0822">
      <w:start w:val="1"/>
      <w:numFmt w:val="bullet"/>
      <w:lvlText w:val="○"/>
      <w:lvlJc w:val="left"/>
      <w:pPr>
        <w:ind w:left="3600" w:hanging="360"/>
      </w:pPr>
    </w:lvl>
    <w:lvl w:ilvl="5" w:tplc="65E2056C">
      <w:start w:val="1"/>
      <w:numFmt w:val="bullet"/>
      <w:lvlText w:val="■"/>
      <w:lvlJc w:val="left"/>
      <w:pPr>
        <w:ind w:left="4320" w:hanging="360"/>
      </w:pPr>
    </w:lvl>
    <w:lvl w:ilvl="6" w:tplc="7B6C7466">
      <w:start w:val="1"/>
      <w:numFmt w:val="bullet"/>
      <w:lvlText w:val="●"/>
      <w:lvlJc w:val="left"/>
      <w:pPr>
        <w:ind w:left="5040" w:hanging="360"/>
      </w:pPr>
    </w:lvl>
    <w:lvl w:ilvl="7" w:tplc="C79C61D4">
      <w:start w:val="1"/>
      <w:numFmt w:val="bullet"/>
      <w:lvlText w:val="●"/>
      <w:lvlJc w:val="left"/>
      <w:pPr>
        <w:ind w:left="5760" w:hanging="360"/>
      </w:pPr>
    </w:lvl>
    <w:lvl w:ilvl="8" w:tplc="6724674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2B4A767C"/>
    <w:multiLevelType w:val="hybridMultilevel"/>
    <w:tmpl w:val="6586330A"/>
    <w:lvl w:ilvl="0" w:tplc="67221510">
      <w:start w:val="1"/>
      <w:numFmt w:val="bullet"/>
      <w:lvlText w:val="•"/>
      <w:lvlJc w:val="left"/>
      <w:pPr>
        <w:ind w:left="360" w:hanging="260"/>
      </w:pPr>
      <w:rPr>
        <w:color w:val="1F4E79"/>
      </w:rPr>
    </w:lvl>
    <w:lvl w:ilvl="1" w:tplc="72A6B0F6">
      <w:numFmt w:val="decimal"/>
      <w:lvlText w:val=""/>
      <w:lvlJc w:val="left"/>
    </w:lvl>
    <w:lvl w:ilvl="2" w:tplc="502AD0C4">
      <w:numFmt w:val="decimal"/>
      <w:lvlText w:val=""/>
      <w:lvlJc w:val="left"/>
    </w:lvl>
    <w:lvl w:ilvl="3" w:tplc="A8E6139A">
      <w:numFmt w:val="decimal"/>
      <w:lvlText w:val=""/>
      <w:lvlJc w:val="left"/>
    </w:lvl>
    <w:lvl w:ilvl="4" w:tplc="411C37BC">
      <w:numFmt w:val="decimal"/>
      <w:lvlText w:val=""/>
      <w:lvlJc w:val="left"/>
    </w:lvl>
    <w:lvl w:ilvl="5" w:tplc="A6C2E3F6">
      <w:numFmt w:val="decimal"/>
      <w:lvlText w:val=""/>
      <w:lvlJc w:val="left"/>
    </w:lvl>
    <w:lvl w:ilvl="6" w:tplc="09208290">
      <w:numFmt w:val="decimal"/>
      <w:lvlText w:val=""/>
      <w:lvlJc w:val="left"/>
    </w:lvl>
    <w:lvl w:ilvl="7" w:tplc="557270EE">
      <w:numFmt w:val="decimal"/>
      <w:lvlText w:val=""/>
      <w:lvlJc w:val="left"/>
    </w:lvl>
    <w:lvl w:ilvl="8" w:tplc="EABA7AE8">
      <w:numFmt w:val="decimal"/>
      <w:lvlText w:val=""/>
      <w:lvlJc w:val="left"/>
    </w:lvl>
  </w:abstractNum>
  <w:num w:numId="1" w16cid:durableId="1358458223">
    <w:abstractNumId w:val="0"/>
    <w:lvlOverride w:ilvl="0">
      <w:startOverride w:val="1"/>
    </w:lvlOverride>
  </w:num>
  <w:num w:numId="2" w16cid:durableId="100042866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ADD"/>
    <w:rsid w:val="0039226A"/>
    <w:rsid w:val="00835711"/>
    <w:rsid w:val="00A96ADD"/>
    <w:rsid w:val="00C16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612C7"/>
  <w15:docId w15:val="{8A72A939-A628-4C9E-AAC0-C11739428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fr-BE" w:eastAsia="fr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  <w:rPr>
      <w:sz w:val="20"/>
      <w:szCs w:val="20"/>
    </w:rPr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axation-customs.ec.europa.eu/news/eu-and-turkiye-new-agreement-strengthen-customs-cooperation-2026-07-16_en" TargetMode="External"/><Relationship Id="rId13" Type="http://schemas.openxmlformats.org/officeDocument/2006/relationships/hyperlink" Target="https://www.naforna.be/nl/nieuws/4082026-eudr-verordening-tegen-ontbossing-en-bosdegradatie-update-0" TargetMode="External"/><Relationship Id="rId18" Type="http://schemas.openxmlformats.org/officeDocument/2006/relationships/hyperlink" Target="https://www.douane.nl/21e-sanctiepakket-rusland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taxation-customs.ec.europa.eu/news/commission-welcomes-council-agreement-strengthening-cbam-2026-06-12_en" TargetMode="External"/><Relationship Id="rId12" Type="http://schemas.openxmlformats.org/officeDocument/2006/relationships/hyperlink" Target="https://www.naforna.be/nl/nieuws/5082026-wdo-kandidaturen-voor-private-sector-consultative-group" TargetMode="External"/><Relationship Id="rId17" Type="http://schemas.openxmlformats.org/officeDocument/2006/relationships/hyperlink" Target="https://www.douane.gouv.fr/actualites/taxe-sur-les-petits-colis-point-dinformation-sur-sa-mise-en-oeuvre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douane.gouv.fr/actualites/les-ventes-de-tabac-en-france" TargetMode="External"/><Relationship Id="rId20" Type="http://schemas.openxmlformats.org/officeDocument/2006/relationships/hyperlink" Target="https://www.douane.nl/verbod-op-invoer-van-goederen-uit-onrechtmatige-israelische-nederzettingen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c.europa.eu/commission/presscorner/detail/en/ip_26_1491" TargetMode="External"/><Relationship Id="rId11" Type="http://schemas.openxmlformats.org/officeDocument/2006/relationships/hyperlink" Target="https://www.naforna.be/nl/nieuws/6082026-masp-informatie-werking-opslag-een-rto" TargetMode="External"/><Relationship Id="rId5" Type="http://schemas.openxmlformats.org/officeDocument/2006/relationships/hyperlink" Target="https://taxation-customs.ec.europa.eu/news/commission-adopts-amendments-union-customs-code-implementing-act-streamline-application-non-2026-07-02_en" TargetMode="External"/><Relationship Id="rId15" Type="http://schemas.openxmlformats.org/officeDocument/2006/relationships/hyperlink" Target="https://www.douane.gouv.fr/actualites/david-amiel-annonce-les-premieres-declinaisons-du-plan-douane-2030-en-guyane" TargetMode="External"/><Relationship Id="rId10" Type="http://schemas.openxmlformats.org/officeDocument/2006/relationships/hyperlink" Target="https://www.naforna.be/nl/nieuws/7082026-militaire-goederenstromen-met-formulier-f302" TargetMode="External"/><Relationship Id="rId19" Type="http://schemas.openxmlformats.org/officeDocument/2006/relationships/hyperlink" Target="https://www.douane.nl/aanpassingen-douanesoftware-centralised-clearanc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axation-customs.ec.europa.eu/news/report-highlights-need-stronger-customs-controls-and-cooperation-protect-eu-citizens-and-businesses-2026-07-20_en" TargetMode="External"/><Relationship Id="rId14" Type="http://schemas.openxmlformats.org/officeDocument/2006/relationships/hyperlink" Target="https://www.naforna.be/nl/nieuws/28072026-importeurs-bewijsvoering-vs-tariefpreferenties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1581</Words>
  <Characters>8697</Characters>
  <Application>Microsoft Office Word</Application>
  <DocSecurity>0</DocSecurity>
  <Lines>72</Lines>
  <Paragraphs>20</Paragraphs>
  <ScaleCrop>false</ScaleCrop>
  <Company/>
  <LinksUpToDate>false</LinksUpToDate>
  <CharactersWithSpaces>10258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Raphaël VAN DE SANDE</cp:lastModifiedBy>
  <cp:revision>2</cp:revision>
  <dcterms:created xsi:type="dcterms:W3CDTF">2026-08-10T14:52:00Z</dcterms:created>
  <dcterms:modified xsi:type="dcterms:W3CDTF">2026-08-10T14:52:00Z</dcterms:modified>
</cp:coreProperties>
</file>